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A1E6" w14:textId="77777777" w:rsidR="005D0F00" w:rsidRPr="00532945" w:rsidRDefault="009E4CE3" w:rsidP="00226608">
      <w:pPr>
        <w:jc w:val="center"/>
        <w:rPr>
          <w:rFonts w:ascii="SassoonCRInfant" w:hAnsi="SassoonCRInfant" w:cs="Arial"/>
          <w:sz w:val="48"/>
          <w:szCs w:val="48"/>
        </w:rPr>
      </w:pPr>
      <w:r w:rsidRPr="00532945">
        <w:rPr>
          <w:rFonts w:ascii="SassoonCRInfant" w:hAnsi="SassoonCRInfant" w:cs="Arial"/>
          <w:sz w:val="48"/>
          <w:szCs w:val="48"/>
        </w:rPr>
        <w:t>Sir Alexander Fleming Primary School and Nursery</w:t>
      </w:r>
    </w:p>
    <w:p w14:paraId="5ED13E2E" w14:textId="1216213C" w:rsidR="00505285" w:rsidRPr="00532945" w:rsidRDefault="00440344" w:rsidP="00440344">
      <w:pPr>
        <w:jc w:val="center"/>
        <w:rPr>
          <w:rFonts w:ascii="SassoonCRInfant" w:hAnsi="SassoonCRInfant" w:cs="Arial"/>
          <w:sz w:val="48"/>
          <w:szCs w:val="48"/>
        </w:rPr>
      </w:pPr>
      <w:r w:rsidRPr="00532945">
        <w:rPr>
          <w:rFonts w:ascii="SassoonCRInfant" w:hAnsi="SassoonCRInfant"/>
          <w:noProof/>
        </w:rPr>
        <w:drawing>
          <wp:inline distT="0" distB="0" distL="0" distR="0" wp14:anchorId="2127AD1D" wp14:editId="6586D7C0">
            <wp:extent cx="1918855" cy="1918855"/>
            <wp:effectExtent l="0" t="0" r="571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65" cy="19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4AFF" w14:textId="3B14800E" w:rsidR="009E4CE3" w:rsidRPr="00532945" w:rsidRDefault="009B22C2" w:rsidP="00505285">
      <w:pPr>
        <w:jc w:val="center"/>
        <w:rPr>
          <w:rFonts w:ascii="SassoonCRInfant" w:hAnsi="SassoonCRInfant" w:cs="Arial"/>
          <w:b/>
          <w:bCs/>
          <w:sz w:val="80"/>
          <w:szCs w:val="80"/>
        </w:rPr>
      </w:pPr>
      <w:r w:rsidRPr="00532945">
        <w:rPr>
          <w:rFonts w:ascii="SassoonCRInfant" w:hAnsi="SassoonCRInfant" w:cs="Arial"/>
          <w:b/>
          <w:bCs/>
          <w:sz w:val="80"/>
          <w:szCs w:val="80"/>
        </w:rPr>
        <w:t>Nutrition</w:t>
      </w:r>
      <w:r w:rsidR="009E4CE3" w:rsidRPr="00532945">
        <w:rPr>
          <w:rFonts w:ascii="SassoonCRInfant" w:hAnsi="SassoonCRInfant" w:cs="Arial"/>
          <w:b/>
          <w:bCs/>
          <w:sz w:val="80"/>
          <w:szCs w:val="80"/>
        </w:rPr>
        <w:t xml:space="preserve"> Policy</w:t>
      </w:r>
    </w:p>
    <w:p w14:paraId="552EEBC1" w14:textId="1D9C14BA" w:rsidR="00440344" w:rsidRPr="00532945" w:rsidRDefault="00440344" w:rsidP="00505285">
      <w:pPr>
        <w:jc w:val="center"/>
        <w:rPr>
          <w:rFonts w:ascii="SassoonCRInfant" w:hAnsi="SassoonCRInfant" w:cs="Arial"/>
          <w:sz w:val="32"/>
          <w:szCs w:val="32"/>
        </w:rPr>
      </w:pPr>
      <w:r w:rsidRPr="00532945">
        <w:rPr>
          <w:rFonts w:ascii="SassoonCRInfant" w:hAnsi="SassoonCRInfant" w:cs="Arial"/>
          <w:sz w:val="32"/>
          <w:szCs w:val="32"/>
        </w:rPr>
        <w:t>Written September 2025</w:t>
      </w:r>
    </w:p>
    <w:p w14:paraId="040F3C5D" w14:textId="108384B6" w:rsidR="004E7138" w:rsidRPr="00532945" w:rsidRDefault="00440344" w:rsidP="00226608">
      <w:pPr>
        <w:jc w:val="center"/>
        <w:rPr>
          <w:rFonts w:ascii="SassoonCRInfant" w:hAnsi="SassoonCRInfant" w:cs="Arial"/>
          <w:sz w:val="24"/>
          <w:szCs w:val="24"/>
        </w:rPr>
      </w:pPr>
      <w:r w:rsidRPr="00532945">
        <w:rPr>
          <w:rFonts w:ascii="SassoonCRInfant" w:hAnsi="SassoonCRInfant" w:cs="Arial"/>
          <w:sz w:val="32"/>
          <w:szCs w:val="32"/>
        </w:rPr>
        <w:t xml:space="preserve">Review Date: </w:t>
      </w:r>
      <w:r w:rsidR="004E7138" w:rsidRPr="00532945">
        <w:rPr>
          <w:rFonts w:ascii="SassoonCRInfant" w:hAnsi="SassoonCRInfant" w:cs="Arial"/>
          <w:sz w:val="32"/>
          <w:szCs w:val="32"/>
        </w:rPr>
        <w:t>September 2026</w:t>
      </w:r>
    </w:p>
    <w:p w14:paraId="36307CC9" w14:textId="77777777" w:rsidR="00226608" w:rsidRPr="00532945" w:rsidRDefault="00226608" w:rsidP="00226608">
      <w:pPr>
        <w:jc w:val="center"/>
        <w:rPr>
          <w:rFonts w:ascii="SassoonCRInfant" w:hAnsi="SassoonCRInfant" w:cs="Arial"/>
          <w:sz w:val="24"/>
          <w:szCs w:val="24"/>
        </w:rPr>
      </w:pPr>
    </w:p>
    <w:p w14:paraId="19B70058" w14:textId="03C3D409" w:rsidR="004E7138" w:rsidRPr="00532945" w:rsidRDefault="00226608" w:rsidP="00505285">
      <w:pPr>
        <w:jc w:val="center"/>
        <w:rPr>
          <w:rFonts w:ascii="SassoonCRInfant" w:hAnsi="SassoonCRInfant" w:cs="Arial"/>
          <w:sz w:val="28"/>
          <w:szCs w:val="28"/>
        </w:rPr>
      </w:pPr>
      <w:r w:rsidRPr="00532945">
        <w:rPr>
          <w:rFonts w:ascii="SassoonCRInfant" w:hAnsi="SassoonCRInfant"/>
          <w:noProof/>
        </w:rPr>
        <w:drawing>
          <wp:anchor distT="0" distB="0" distL="114300" distR="114300" simplePos="0" relativeHeight="251658240" behindDoc="1" locked="0" layoutInCell="1" allowOverlap="1" wp14:anchorId="7E40AB70" wp14:editId="7F0E47D1">
            <wp:simplePos x="0" y="0"/>
            <wp:positionH relativeFrom="margin">
              <wp:posOffset>1461135</wp:posOffset>
            </wp:positionH>
            <wp:positionV relativeFrom="paragraph">
              <wp:posOffset>3216968</wp:posOffset>
            </wp:positionV>
            <wp:extent cx="3816580" cy="2147733"/>
            <wp:effectExtent l="0" t="0" r="0" b="5080"/>
            <wp:wrapTight wrapText="bothSides">
              <wp:wrapPolygon edited="0">
                <wp:start x="0" y="0"/>
                <wp:lineTo x="0" y="21459"/>
                <wp:lineTo x="21456" y="21459"/>
                <wp:lineTo x="21456" y="0"/>
                <wp:lineTo x="0" y="0"/>
              </wp:wrapPolygon>
            </wp:wrapTight>
            <wp:docPr id="3" name="Picture 1" descr="A diagram of different feel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diagram of different feel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580" cy="214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C43" w:rsidRPr="00532945">
        <w:rPr>
          <w:rFonts w:ascii="SassoonCRInfant" w:hAnsi="SassoonCRInfant"/>
          <w:sz w:val="28"/>
          <w:szCs w:val="28"/>
        </w:rPr>
        <w:t xml:space="preserve">At Sir Alexander Fleming Primary School and Nursery, our nutrition policy is deeply rooted in our core values of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Safe, Respect, Pride, Brave</w:t>
      </w:r>
      <w:r w:rsidR="00787C43" w:rsidRPr="00532945">
        <w:rPr>
          <w:rFonts w:ascii="SassoonCRInfant" w:hAnsi="SassoonCRInfant"/>
          <w:sz w:val="28"/>
          <w:szCs w:val="28"/>
        </w:rPr>
        <w:t xml:space="preserve">, and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Success</w:t>
      </w:r>
      <w:r w:rsidR="00787C43" w:rsidRPr="00532945">
        <w:rPr>
          <w:rFonts w:ascii="SassoonCRInfant" w:hAnsi="SassoonCRInfant"/>
          <w:sz w:val="28"/>
          <w:szCs w:val="28"/>
        </w:rPr>
        <w:t xml:space="preserve">. We ensure our children stay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safe</w:t>
      </w:r>
      <w:r w:rsidR="00787C43" w:rsidRPr="00532945">
        <w:rPr>
          <w:rFonts w:ascii="SassoonCRInfant" w:hAnsi="SassoonCRInfant"/>
          <w:sz w:val="28"/>
          <w:szCs w:val="28"/>
        </w:rPr>
        <w:t xml:space="preserve"> by providing nutritious meals that support physical and mental well-being and by teaching them to make sensible food choices both in school and in the wider community. Our approach fosters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respect</w:t>
      </w:r>
      <w:r w:rsidR="00787C43" w:rsidRPr="00532945">
        <w:rPr>
          <w:rFonts w:ascii="SassoonCRInfant" w:hAnsi="SassoonCRInfant"/>
          <w:sz w:val="28"/>
          <w:szCs w:val="28"/>
        </w:rPr>
        <w:t xml:space="preserve"> by encouraging social and cultural awareness through a diverse and inclusive menu, while also promoting self-respect through healthy eating habits. We instil a sense of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pride</w:t>
      </w:r>
      <w:r w:rsidR="00787C43" w:rsidRPr="00532945">
        <w:rPr>
          <w:rFonts w:ascii="SassoonCRInfant" w:hAnsi="SassoonCRInfant"/>
          <w:sz w:val="28"/>
          <w:szCs w:val="28"/>
        </w:rPr>
        <w:t xml:space="preserve"> in pupils by helping them understand how good nutrition contributes to personal growth, energy, and learning, empowering them to become their best selves. Our policy encourages children to be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brave</w:t>
      </w:r>
      <w:r w:rsidR="00787C43" w:rsidRPr="00532945">
        <w:rPr>
          <w:rFonts w:ascii="SassoonCRInfant" w:hAnsi="SassoonCRInfant"/>
          <w:sz w:val="28"/>
          <w:szCs w:val="28"/>
        </w:rPr>
        <w:t xml:space="preserve"> by trying new foods and embracing healthier options, building resilience and independence around their food choices. Ultimately, we support every child on their journey to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success</w:t>
      </w:r>
      <w:r w:rsidR="00787C43" w:rsidRPr="00532945">
        <w:rPr>
          <w:rFonts w:ascii="SassoonCRInfant" w:hAnsi="SassoonCRInfant"/>
          <w:sz w:val="28"/>
          <w:szCs w:val="28"/>
        </w:rPr>
        <w:t xml:space="preserve"> by fuelling them with the nourishment they need to achieve their full potential—because with the right support and effort, anything is achievable.</w:t>
      </w:r>
      <w:r w:rsidRPr="00532945">
        <w:rPr>
          <w:rFonts w:ascii="SassoonCRInfant" w:hAnsi="SassoonCRInfant"/>
          <w:noProof/>
        </w:rPr>
        <w:t xml:space="preserve"> </w:t>
      </w:r>
    </w:p>
    <w:p w14:paraId="212856ED" w14:textId="2BC3709C" w:rsidR="00505285" w:rsidRPr="00532945" w:rsidRDefault="00505285" w:rsidP="00505285">
      <w:pPr>
        <w:rPr>
          <w:rFonts w:ascii="SassoonCRInfant" w:hAnsi="SassoonCRInfant" w:cs="Arial"/>
          <w:sz w:val="24"/>
          <w:szCs w:val="24"/>
        </w:rPr>
      </w:pPr>
    </w:p>
    <w:p w14:paraId="3B034D88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4400B5EC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164B303F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0E416D9C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22960CA5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6AF603DD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1E963CF9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lastRenderedPageBreak/>
        <w:t>1. Policy Statement</w:t>
      </w:r>
    </w:p>
    <w:p w14:paraId="1B3CD36E" w14:textId="34F69852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At Sir Alexander Fleming Primary School and Nursery, we recognise the vital role nutrition plays in the physical health, emotional well-being, behaviour, concentration, and academic achievement of our children. In line with 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Department for Education's (DfE) updated nutrition guidance (September 2025)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and 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School Food Standards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, our school is committed to promoting a whole-school approach to healthy eating. This policy sets out our expectations for all food and drink provided to children and reinforces our school values of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Safe, Respect, Pride, Brave, and Success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in all aspects of school life.</w:t>
      </w:r>
    </w:p>
    <w:p w14:paraId="0787E0C8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2. Aims and Objectives</w:t>
      </w:r>
    </w:p>
    <w:p w14:paraId="02C70684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Our Nutrition Policy aims to:</w:t>
      </w:r>
    </w:p>
    <w:p w14:paraId="2851AFBA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Ensure that all food and drink provided at school is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healthy, balanced, and nutritious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 line with current DfE statutory guidance and regulations.</w:t>
      </w:r>
    </w:p>
    <w:p w14:paraId="60CF27C5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Promote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positive attitudes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towards food, nutrition, and a healthy lifestyle through the curriculum and school environment.</w:t>
      </w:r>
    </w:p>
    <w:p w14:paraId="0635A010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Provide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age-appropriate portion sizes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meeting the dietary needs of all children, including those with allergies or cultural requirements.</w:t>
      </w:r>
    </w:p>
    <w:p w14:paraId="524A4414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Support children in making informed, independent food choices for lifelong healthy habits.</w:t>
      </w:r>
    </w:p>
    <w:p w14:paraId="7638BA3A" w14:textId="71F440E1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Involve 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whole school community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—pupils, parents, staff, and catering providers—in promoting a healthy food culture.</w:t>
      </w:r>
    </w:p>
    <w:p w14:paraId="794D473E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3. Alignment with School Values</w:t>
      </w:r>
    </w:p>
    <w:p w14:paraId="24B2FF40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Our Nutrition Policy supports our school’s core values:</w:t>
      </w:r>
    </w:p>
    <w:p w14:paraId="01F6F91E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Safe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keep ourselves and others safe by offering nutritious meals that promote physical and emotional well-being. Children are taught to make safe, sensible food choices at school, online, and in the community.</w:t>
      </w:r>
    </w:p>
    <w:p w14:paraId="7ABFB695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Respect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respect diverse dietary needs and cultural practices, and we help children build self-respect by encouraging healthy eating habits.</w:t>
      </w:r>
    </w:p>
    <w:p w14:paraId="27CC654C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Pride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take pride in creating a positive food culture and celebrating achievements related to healthy choices and cooking skills.</w:t>
      </w:r>
    </w:p>
    <w:p w14:paraId="6756E60E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Brave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encourage children to be brave by trying new, healthy foods and building resilience through positive changes in eating habits.</w:t>
      </w:r>
    </w:p>
    <w:p w14:paraId="0F1F586A" w14:textId="7BCFC099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Success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support every child in achieving success by providing food that fuels learning, concentration, and emotional regulation.</w:t>
      </w:r>
    </w:p>
    <w:p w14:paraId="408FA523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 Food and Drink Provision</w:t>
      </w:r>
    </w:p>
    <w:p w14:paraId="61BF0641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All food and drink provided in school, nursery, or during wraparound care complies with the latest DfE and School Food Standards:</w:t>
      </w:r>
    </w:p>
    <w:p w14:paraId="785FE3F2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4.1 Meals</w:t>
      </w:r>
    </w:p>
    <w:p w14:paraId="11B8B02E" w14:textId="77777777" w:rsidR="00A11594" w:rsidRPr="00A11594" w:rsidRDefault="00A11594" w:rsidP="00A115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Meals are freshly prepared and follow a balanced menu that includes:</w:t>
      </w:r>
    </w:p>
    <w:p w14:paraId="754B9286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Daily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vegetables and/or salad</w:t>
      </w:r>
    </w:p>
    <w:p w14:paraId="6F411943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 variety of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fruits and vegetables each week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(minimum 3 of each)</w:t>
      </w:r>
    </w:p>
    <w:p w14:paraId="2F72FF79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Wholegrain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starchy options (e.g. brown bread, pasta, rice)</w:t>
      </w:r>
    </w:p>
    <w:p w14:paraId="69BFA098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Protein-rich foods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(meat, fish, eggs, beans)</w:t>
      </w:r>
    </w:p>
    <w:p w14:paraId="7780C6AD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lastRenderedPageBreak/>
        <w:t>Milk and dairy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options</w:t>
      </w:r>
    </w:p>
    <w:p w14:paraId="2252C46C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Vegetarian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options daily</w:t>
      </w:r>
    </w:p>
    <w:p w14:paraId="5C463A86" w14:textId="77777777" w:rsidR="00A11594" w:rsidRPr="00A11594" w:rsidRDefault="00A11594" w:rsidP="00A115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Deep-fried or pastry-based items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limited to twice a week.</w:t>
      </w:r>
    </w:p>
    <w:p w14:paraId="0D4017FA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4.2 Snacks and Breaks</w:t>
      </w:r>
    </w:p>
    <w:p w14:paraId="6EE47782" w14:textId="3C61B2BD" w:rsidR="00A11594" w:rsidRPr="00A11594" w:rsidRDefault="00A11594" w:rsidP="00A115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Healthy snacks (e.g. fruit, raw vegetables) are provided during breaks for Nursery and </w:t>
      </w: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Reception children.</w:t>
      </w:r>
    </w:p>
    <w:p w14:paraId="4DC99E14" w14:textId="360E9630" w:rsidR="00A11594" w:rsidRPr="00A11594" w:rsidRDefault="00A11594" w:rsidP="00A115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Children in KS1 and KS2 are </w:t>
      </w:r>
      <w:r w:rsidR="00BE149F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encouraged to bring in a healthy snack for break time. Fresh fruit is provided by Tesco daily for all.</w:t>
      </w:r>
    </w:p>
    <w:p w14:paraId="4AC235D0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4.3 Drinks</w:t>
      </w:r>
    </w:p>
    <w:p w14:paraId="17975085" w14:textId="77777777" w:rsidR="00A11594" w:rsidRPr="00A11594" w:rsidRDefault="00A11594" w:rsidP="00A115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Water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is freely available throughout the day.</w:t>
      </w:r>
    </w:p>
    <w:p w14:paraId="22F8BDA2" w14:textId="77777777" w:rsidR="00A11594" w:rsidRPr="00A11594" w:rsidRDefault="00A11594" w:rsidP="00A115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Only water or milk is served at snack and meal times.</w:t>
      </w:r>
    </w:p>
    <w:p w14:paraId="13455EFD" w14:textId="521F03DE" w:rsidR="00A11594" w:rsidRPr="00A11594" w:rsidRDefault="00A11594" w:rsidP="00BE14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Fruit juices are limited to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150ml portions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and sugary drinks are not served.</w:t>
      </w:r>
    </w:p>
    <w:p w14:paraId="6759CC9A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5. Early Years Foundation Stage (Nursery)</w:t>
      </w:r>
    </w:p>
    <w:p w14:paraId="7B0B0EBA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In line with EYFS and DfE September 2025 guidance:</w:t>
      </w:r>
    </w:p>
    <w:p w14:paraId="7240ED27" w14:textId="4E5334FA" w:rsidR="00A11594" w:rsidRPr="00A11594" w:rsidRDefault="00A11594" w:rsidP="00A115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All meals for Nursery children are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balanced and age-appropriate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including the four required food groups:</w:t>
      </w:r>
    </w:p>
    <w:p w14:paraId="3FD6ED79" w14:textId="77777777" w:rsidR="00A11594" w:rsidRPr="00A11594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Fruit and vegetables</w:t>
      </w:r>
    </w:p>
    <w:p w14:paraId="336121FC" w14:textId="77777777" w:rsidR="00A11594" w:rsidRPr="00A11594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Starchy foods</w:t>
      </w:r>
    </w:p>
    <w:p w14:paraId="30619105" w14:textId="77777777" w:rsidR="00A11594" w:rsidRPr="00A11594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Protein sources</w:t>
      </w:r>
    </w:p>
    <w:p w14:paraId="2A0549CE" w14:textId="77777777" w:rsidR="00A11594" w:rsidRPr="00A11594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Milk and dairy</w:t>
      </w:r>
    </w:p>
    <w:p w14:paraId="50086E30" w14:textId="58847ED9" w:rsidR="00A11594" w:rsidRPr="00A11594" w:rsidRDefault="00A11594" w:rsidP="001925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Food is prepared to suit the specific needs of younger children, including appropriate textures and portion sizes</w:t>
      </w:r>
      <w:r w:rsidR="00192516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and follow appropriate safety measures such as the ways in which they are cut.</w:t>
      </w:r>
    </w:p>
    <w:p w14:paraId="6E780565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6. Curriculum Integration</w:t>
      </w:r>
    </w:p>
    <w:p w14:paraId="0D73EB5B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Nutrition is integrated into:</w:t>
      </w:r>
    </w:p>
    <w:p w14:paraId="3318B8AF" w14:textId="77777777" w:rsidR="00A11594" w:rsidRPr="00A11594" w:rsidRDefault="00A11594" w:rsidP="00A115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Science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,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PSHE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, and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Design &amp; Technology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lessons (e.g. food groups, cooking, digestion).</w:t>
      </w:r>
    </w:p>
    <w:p w14:paraId="680599D9" w14:textId="633F407F" w:rsidR="00A11594" w:rsidRPr="00A11594" w:rsidRDefault="00A11594" w:rsidP="001925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Healthy lifestyle education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reinforcing the Eatwell Guide, balanced diets, and the impact of nutrition on mental and physical health.</w:t>
      </w:r>
    </w:p>
    <w:p w14:paraId="39EBF7CB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7. Special Dietary Needs</w:t>
      </w:r>
    </w:p>
    <w:p w14:paraId="2C8DF80B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We cater for:</w:t>
      </w:r>
    </w:p>
    <w:p w14:paraId="5D719AE8" w14:textId="77777777" w:rsidR="00A11594" w:rsidRPr="00A11594" w:rsidRDefault="00A11594" w:rsidP="00A115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Medical diets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(e.g. allergies, intolerances) with individual health plans where necessary.</w:t>
      </w:r>
    </w:p>
    <w:p w14:paraId="6A50991C" w14:textId="77777777" w:rsidR="00A11594" w:rsidRPr="00A11594" w:rsidRDefault="00A11594" w:rsidP="00A115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Religious and cultural preferences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 consultation with families.</w:t>
      </w:r>
    </w:p>
    <w:p w14:paraId="1C9F3B19" w14:textId="3057DA96" w:rsidR="00A11594" w:rsidRPr="00A11594" w:rsidRDefault="00A11594" w:rsidP="001925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The catering team and staff </w:t>
      </w:r>
      <w:r w:rsidR="00192516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who </w:t>
      </w:r>
      <w:r w:rsidR="009D68E2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provide snacks and meals 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receive training on food allergies and food hygiene.</w:t>
      </w:r>
    </w:p>
    <w:p w14:paraId="23AADC8A" w14:textId="2C296BB5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 xml:space="preserve">8. Packed Lunches </w:t>
      </w:r>
    </w:p>
    <w:p w14:paraId="6CDB6549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We encourage parents to provide packed lunches that align with the school’s healthy eating ethos. Guidance is shared with families on:</w:t>
      </w:r>
    </w:p>
    <w:p w14:paraId="37C9827A" w14:textId="77777777" w:rsidR="00A11594" w:rsidRPr="00A11594" w:rsidRDefault="00A11594" w:rsidP="00A115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lastRenderedPageBreak/>
        <w:t>Including balanced food groups</w:t>
      </w:r>
    </w:p>
    <w:p w14:paraId="489F5DF5" w14:textId="77777777" w:rsidR="00A11594" w:rsidRPr="00A11594" w:rsidRDefault="00A11594" w:rsidP="00A115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Avoiding high-sugar, high-fat, and processed items</w:t>
      </w:r>
    </w:p>
    <w:p w14:paraId="24E45F77" w14:textId="50AE51C5" w:rsidR="00A11594" w:rsidRPr="00A11594" w:rsidRDefault="00A11594" w:rsidP="00A115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Providing only water</w:t>
      </w:r>
    </w:p>
    <w:p w14:paraId="682F1B70" w14:textId="5D4E051F" w:rsidR="00A11594" w:rsidRPr="00A11594" w:rsidRDefault="00CA1A08" w:rsidP="00A1159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A1A08">
        <w:rPr>
          <w:rFonts w:ascii="SassoonCRInfant" w:eastAsia="Times New Roman" w:hAnsi="SassoonCRInfant" w:cs="Times New Roman"/>
          <w:sz w:val="24"/>
          <w:szCs w:val="24"/>
          <w:lang w:eastAsia="en-GB"/>
        </w:rPr>
        <w:drawing>
          <wp:inline distT="0" distB="0" distL="0" distR="0" wp14:anchorId="15276BFA" wp14:editId="11D96E59">
            <wp:extent cx="6645910" cy="3729990"/>
            <wp:effectExtent l="0" t="0" r="2540" b="3810"/>
            <wp:docPr id="1164231515" name="Picture 1" descr="A school lunch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31515" name="Picture 1" descr="A school lunch box with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C9544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9. Celebrations and Rewards</w:t>
      </w:r>
    </w:p>
    <w:p w14:paraId="19373C07" w14:textId="77777777" w:rsidR="00A11594" w:rsidRPr="00532945" w:rsidRDefault="00A11594" w:rsidP="00A115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Birthdays and celebrations may involve non-food-based rewards or healthy treats.</w:t>
      </w:r>
    </w:p>
    <w:p w14:paraId="6A9DD93F" w14:textId="2DF32A99" w:rsidR="00532945" w:rsidRPr="00A11594" w:rsidRDefault="00532945" w:rsidP="00A115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hAnsi="SassoonCRInfant"/>
          <w:sz w:val="24"/>
          <w:szCs w:val="24"/>
        </w:rPr>
        <w:t>On special occasions, such as Christmas celebrations, children may be offered a small portion of a less healthy treat, as part of a balanced diet and in recognition of the celebration.</w:t>
      </w:r>
    </w:p>
    <w:p w14:paraId="4920412F" w14:textId="0EF84D4B" w:rsidR="00ED0150" w:rsidRPr="00A11594" w:rsidRDefault="009F57CA" w:rsidP="00D870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As part of the schools fundraising efforts, biscuits and sweet treats may be sold on occasion. Parents can opt out of this.</w:t>
      </w:r>
    </w:p>
    <w:p w14:paraId="19B203F7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10. Monitoring and Evaluation</w:t>
      </w:r>
    </w:p>
    <w:p w14:paraId="5D4EED4D" w14:textId="77777777" w:rsidR="00A11594" w:rsidRPr="00A11594" w:rsidRDefault="00A11594" w:rsidP="00A115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Senior Leadership Team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 partnership with catering providers, monitors food provision and compliance with this policy.</w:t>
      </w:r>
    </w:p>
    <w:p w14:paraId="37F28342" w14:textId="77777777" w:rsidR="00A11594" w:rsidRPr="00A11594" w:rsidRDefault="00A11594" w:rsidP="00A115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The school regularly reviews menus and food environments using DfE and School Food Standards checklists.</w:t>
      </w:r>
    </w:p>
    <w:p w14:paraId="0435AECA" w14:textId="3A4EF950" w:rsidR="00A11594" w:rsidRPr="00A11594" w:rsidRDefault="00A11594" w:rsidP="009F57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The policy is reviewed annually and updated as required to reflect government guidance and school needs.</w:t>
      </w:r>
    </w:p>
    <w:p w14:paraId="1A7F1D2E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11. Communication and Involvement</w:t>
      </w:r>
    </w:p>
    <w:p w14:paraId="198F1E1E" w14:textId="77777777" w:rsidR="00A11594" w:rsidRPr="00532945" w:rsidRDefault="00A11594" w:rsidP="00A115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The policy is shared with parents via the school website and newsletters.</w:t>
      </w:r>
    </w:p>
    <w:p w14:paraId="552D553F" w14:textId="17A15907" w:rsidR="006A02D4" w:rsidRPr="00A11594" w:rsidRDefault="006A02D4" w:rsidP="00A115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Menus are posted on the school website and via Seesaw </w:t>
      </w:r>
      <w:r w:rsidR="00A65B07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termly.</w:t>
      </w:r>
    </w:p>
    <w:p w14:paraId="2283256A" w14:textId="77777777" w:rsidR="00A11594" w:rsidRPr="00A11594" w:rsidRDefault="00A11594" w:rsidP="00A115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Pupils are involved through School Council and food-based activities.</w:t>
      </w:r>
    </w:p>
    <w:p w14:paraId="2BB3CE29" w14:textId="586121BE" w:rsidR="00226608" w:rsidRPr="00532945" w:rsidRDefault="00A11594" w:rsidP="0050528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Staff receive regular training and updates on healthy eating policies and practices.</w:t>
      </w:r>
    </w:p>
    <w:p w14:paraId="4CDD851B" w14:textId="77777777" w:rsidR="00A65B07" w:rsidRPr="00A65B07" w:rsidRDefault="00A65B07" w:rsidP="00A65B07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Policy Links</w:t>
      </w:r>
    </w:p>
    <w:p w14:paraId="6948397E" w14:textId="77777777" w:rsidR="00A65B07" w:rsidRPr="00A65B07" w:rsidRDefault="00A65B07" w:rsidP="00A65B07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This policy should be read in conjunction with:</w:t>
      </w:r>
    </w:p>
    <w:p w14:paraId="12D28B11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lastRenderedPageBreak/>
        <w:t>DfE Nutrition Guidance (September 2025)</w:t>
      </w:r>
    </w:p>
    <w:p w14:paraId="322DBB0E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School Food Standards (DfE)</w:t>
      </w:r>
    </w:p>
    <w:p w14:paraId="1F6DE48D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EYFS Statutory Framework</w:t>
      </w:r>
    </w:p>
    <w:p w14:paraId="55E5AE3E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School Allergy &amp; Health Care Policy</w:t>
      </w:r>
    </w:p>
    <w:p w14:paraId="675A6321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PSHE and Science Curriculum Maps</w:t>
      </w:r>
    </w:p>
    <w:p w14:paraId="0F90D43B" w14:textId="77777777" w:rsidR="00A65B07" w:rsidRPr="00532945" w:rsidRDefault="00A65B07" w:rsidP="00A65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A65B07" w:rsidRPr="00532945" w:rsidSect="00226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78E"/>
    <w:multiLevelType w:val="multilevel"/>
    <w:tmpl w:val="176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E5EA8"/>
    <w:multiLevelType w:val="multilevel"/>
    <w:tmpl w:val="46E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1642"/>
    <w:multiLevelType w:val="multilevel"/>
    <w:tmpl w:val="153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323A5"/>
    <w:multiLevelType w:val="multilevel"/>
    <w:tmpl w:val="456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36AC4"/>
    <w:multiLevelType w:val="multilevel"/>
    <w:tmpl w:val="7178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E3136"/>
    <w:multiLevelType w:val="multilevel"/>
    <w:tmpl w:val="45A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E6CC2"/>
    <w:multiLevelType w:val="multilevel"/>
    <w:tmpl w:val="310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50D29"/>
    <w:multiLevelType w:val="multilevel"/>
    <w:tmpl w:val="2CB0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06B1"/>
    <w:multiLevelType w:val="multilevel"/>
    <w:tmpl w:val="C52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537CB"/>
    <w:multiLevelType w:val="multilevel"/>
    <w:tmpl w:val="6E50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2088E"/>
    <w:multiLevelType w:val="multilevel"/>
    <w:tmpl w:val="A72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57174"/>
    <w:multiLevelType w:val="multilevel"/>
    <w:tmpl w:val="6F8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C3BA5"/>
    <w:multiLevelType w:val="multilevel"/>
    <w:tmpl w:val="C9C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703DA"/>
    <w:multiLevelType w:val="multilevel"/>
    <w:tmpl w:val="EBF6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17707"/>
    <w:multiLevelType w:val="multilevel"/>
    <w:tmpl w:val="2C2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108F5"/>
    <w:multiLevelType w:val="multilevel"/>
    <w:tmpl w:val="B39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40A73"/>
    <w:multiLevelType w:val="multilevel"/>
    <w:tmpl w:val="29C6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A7DB5"/>
    <w:multiLevelType w:val="multilevel"/>
    <w:tmpl w:val="DCB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227CF"/>
    <w:multiLevelType w:val="multilevel"/>
    <w:tmpl w:val="E0DC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2764D"/>
    <w:multiLevelType w:val="multilevel"/>
    <w:tmpl w:val="675A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B2414"/>
    <w:multiLevelType w:val="multilevel"/>
    <w:tmpl w:val="769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046DE"/>
    <w:multiLevelType w:val="multilevel"/>
    <w:tmpl w:val="F4DA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B13E8"/>
    <w:multiLevelType w:val="multilevel"/>
    <w:tmpl w:val="BB4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41AFD"/>
    <w:multiLevelType w:val="multilevel"/>
    <w:tmpl w:val="349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019600">
    <w:abstractNumId w:val="20"/>
  </w:num>
  <w:num w:numId="2" w16cid:durableId="734619226">
    <w:abstractNumId w:val="22"/>
  </w:num>
  <w:num w:numId="3" w16cid:durableId="2098670020">
    <w:abstractNumId w:val="14"/>
  </w:num>
  <w:num w:numId="4" w16cid:durableId="1476529573">
    <w:abstractNumId w:val="6"/>
  </w:num>
  <w:num w:numId="5" w16cid:durableId="507870313">
    <w:abstractNumId w:val="8"/>
  </w:num>
  <w:num w:numId="6" w16cid:durableId="1142651602">
    <w:abstractNumId w:val="1"/>
  </w:num>
  <w:num w:numId="7" w16cid:durableId="144323832">
    <w:abstractNumId w:val="7"/>
  </w:num>
  <w:num w:numId="8" w16cid:durableId="1589925094">
    <w:abstractNumId w:val="12"/>
  </w:num>
  <w:num w:numId="9" w16cid:durableId="176189331">
    <w:abstractNumId w:val="10"/>
  </w:num>
  <w:num w:numId="10" w16cid:durableId="1992051553">
    <w:abstractNumId w:val="5"/>
  </w:num>
  <w:num w:numId="11" w16cid:durableId="444543756">
    <w:abstractNumId w:val="4"/>
  </w:num>
  <w:num w:numId="12" w16cid:durableId="111173582">
    <w:abstractNumId w:val="2"/>
  </w:num>
  <w:num w:numId="13" w16cid:durableId="1177503246">
    <w:abstractNumId w:val="11"/>
  </w:num>
  <w:num w:numId="14" w16cid:durableId="1280644259">
    <w:abstractNumId w:val="16"/>
  </w:num>
  <w:num w:numId="15" w16cid:durableId="252981659">
    <w:abstractNumId w:val="17"/>
  </w:num>
  <w:num w:numId="16" w16cid:durableId="1151171724">
    <w:abstractNumId w:val="13"/>
  </w:num>
  <w:num w:numId="17" w16cid:durableId="1261141522">
    <w:abstractNumId w:val="19"/>
  </w:num>
  <w:num w:numId="18" w16cid:durableId="362369099">
    <w:abstractNumId w:val="15"/>
  </w:num>
  <w:num w:numId="19" w16cid:durableId="43985649">
    <w:abstractNumId w:val="3"/>
  </w:num>
  <w:num w:numId="20" w16cid:durableId="599526841">
    <w:abstractNumId w:val="0"/>
  </w:num>
  <w:num w:numId="21" w16cid:durableId="1927838923">
    <w:abstractNumId w:val="9"/>
  </w:num>
  <w:num w:numId="22" w16cid:durableId="2094474878">
    <w:abstractNumId w:val="18"/>
  </w:num>
  <w:num w:numId="23" w16cid:durableId="779036434">
    <w:abstractNumId w:val="21"/>
  </w:num>
  <w:num w:numId="24" w16cid:durableId="14174327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E3"/>
    <w:rsid w:val="00192516"/>
    <w:rsid w:val="001A55BA"/>
    <w:rsid w:val="00226608"/>
    <w:rsid w:val="00397978"/>
    <w:rsid w:val="00440344"/>
    <w:rsid w:val="004E7138"/>
    <w:rsid w:val="00505285"/>
    <w:rsid w:val="00532945"/>
    <w:rsid w:val="005D0F00"/>
    <w:rsid w:val="006A02D4"/>
    <w:rsid w:val="00744360"/>
    <w:rsid w:val="00787C43"/>
    <w:rsid w:val="0079190F"/>
    <w:rsid w:val="00840E41"/>
    <w:rsid w:val="008A4E1B"/>
    <w:rsid w:val="009B22C2"/>
    <w:rsid w:val="009C36EF"/>
    <w:rsid w:val="009D68E2"/>
    <w:rsid w:val="009E4CE3"/>
    <w:rsid w:val="009F57CA"/>
    <w:rsid w:val="00A11594"/>
    <w:rsid w:val="00A50C92"/>
    <w:rsid w:val="00A65B07"/>
    <w:rsid w:val="00A70CA4"/>
    <w:rsid w:val="00B25837"/>
    <w:rsid w:val="00BE149F"/>
    <w:rsid w:val="00BF4ACC"/>
    <w:rsid w:val="00CA1A08"/>
    <w:rsid w:val="00D870B2"/>
    <w:rsid w:val="00EA706D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13FA"/>
  <w15:chartTrackingRefBased/>
  <w15:docId w15:val="{41AD0517-5844-431D-867C-96E8F1AD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5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CE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7C4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5B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8cfb-f27c-4ce4-bcf5-583c04d6c174">
      <Terms xmlns="http://schemas.microsoft.com/office/infopath/2007/PartnerControls"/>
    </lcf76f155ced4ddcb4097134ff3c332f>
    <TaxCatchAll xmlns="38e764dc-f0f2-4e8b-adb3-7a530dcbfd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1F5ECCF44654F8FF68A2C4EB5806A" ma:contentTypeVersion="14" ma:contentTypeDescription="Create a new document." ma:contentTypeScope="" ma:versionID="efec9ffa2993dedf24acb168e5da52b2">
  <xsd:schema xmlns:xsd="http://www.w3.org/2001/XMLSchema" xmlns:xs="http://www.w3.org/2001/XMLSchema" xmlns:p="http://schemas.microsoft.com/office/2006/metadata/properties" xmlns:ns2="66f08cfb-f27c-4ce4-bcf5-583c04d6c174" xmlns:ns3="38e764dc-f0f2-4e8b-adb3-7a530dcbfd78" targetNamespace="http://schemas.microsoft.com/office/2006/metadata/properties" ma:root="true" ma:fieldsID="2a3dff7746ca27d15c5354393815a028" ns2:_="" ns3:_="">
    <xsd:import namespace="66f08cfb-f27c-4ce4-bcf5-583c04d6c174"/>
    <xsd:import namespace="38e764dc-f0f2-4e8b-adb3-7a530dcb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8cfb-f27c-4ce4-bcf5-583c04d6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7284fb-eace-440d-b146-6395bc66e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64dc-f0f2-4e8b-adb3-7a530dcbfd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63b7dc-3504-4cf2-9d5e-0b2d5e089491}" ma:internalName="TaxCatchAll" ma:showField="CatchAllData" ma:web="38e764dc-f0f2-4e8b-adb3-7a530dcbf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95CAE-4903-4F65-9FC0-1730F192A92F}">
  <ds:schemaRefs>
    <ds:schemaRef ds:uri="http://purl.org/dc/dcmitype/"/>
    <ds:schemaRef ds:uri="66f08cfb-f27c-4ce4-bcf5-583c04d6c174"/>
    <ds:schemaRef ds:uri="http://schemas.microsoft.com/office/2006/documentManagement/types"/>
    <ds:schemaRef ds:uri="38e764dc-f0f2-4e8b-adb3-7a530dcbfd78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115B66A-CD64-4BB7-9565-0B6A74559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8F854-8BF5-45B6-9EE4-88801AF3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08cfb-f27c-4ce4-bcf5-583c04d6c174"/>
    <ds:schemaRef ds:uri="38e764dc-f0f2-4e8b-adb3-7a530dcb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Katy</dc:creator>
  <cp:keywords/>
  <dc:description/>
  <cp:lastModifiedBy>Reese, Katie</cp:lastModifiedBy>
  <cp:revision>29</cp:revision>
  <cp:lastPrinted>2019-06-03T12:07:00Z</cp:lastPrinted>
  <dcterms:created xsi:type="dcterms:W3CDTF">2025-09-08T17:47:00Z</dcterms:created>
  <dcterms:modified xsi:type="dcterms:W3CDTF">2025-09-08T18:26:00Z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0x0101006D71F5ECCF44654F8FF68A2C4EB5806A</vt:lpwstr>
  </property>
  <property fmtid="{D5CDD505-2E9C-101B-9397-08002B2CF9AE}" pid="3" name="Order">
    <vt:r8>528600</vt:r8>
  </property>
  <property fmtid="{D5CDD505-2E9C-101B-9397-08002B2CF9AE}" pid="4" name="MediaServiceImageTags">
    <vt:lpwstr/>
  </property>
</Properties>
</file>